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C50A1" w14:textId="5807044B" w:rsidR="00363EDF" w:rsidRPr="00AA51D7" w:rsidRDefault="00AA51D7" w:rsidP="00AA51D7">
      <w:pPr>
        <w:spacing w:line="276" w:lineRule="auto"/>
        <w:jc w:val="both"/>
        <w:rPr>
          <w:rFonts w:ascii="Candara" w:hAnsi="Candara"/>
          <w:b/>
          <w:bCs/>
          <w:sz w:val="28"/>
          <w:szCs w:val="28"/>
        </w:rPr>
      </w:pPr>
      <w:r w:rsidRPr="00AA51D7">
        <w:rPr>
          <w:rFonts w:ascii="Candara" w:hAnsi="Candara"/>
          <w:b/>
          <w:bCs/>
          <w:sz w:val="28"/>
          <w:szCs w:val="28"/>
        </w:rPr>
        <w:t xml:space="preserve">LE SYSTEME DE SANTE CONGOLAIS </w:t>
      </w:r>
    </w:p>
    <w:p w14:paraId="665E0BE6" w14:textId="77777777" w:rsidR="00363EDF" w:rsidRPr="00AA51D7" w:rsidRDefault="00363EDF" w:rsidP="00AA51D7">
      <w:pPr>
        <w:spacing w:line="276" w:lineRule="auto"/>
        <w:jc w:val="both"/>
        <w:rPr>
          <w:rFonts w:ascii="Candara" w:eastAsia="Times New Roman" w:hAnsi="Candara"/>
          <w:sz w:val="26"/>
          <w:szCs w:val="26"/>
        </w:rPr>
      </w:pPr>
      <w:r w:rsidRPr="00AA51D7">
        <w:rPr>
          <w:rFonts w:ascii="Candara" w:eastAsia="Times New Roman" w:hAnsi="Candara"/>
          <w:sz w:val="26"/>
          <w:szCs w:val="26"/>
        </w:rPr>
        <w:t xml:space="preserve">Le système de santé du Congo est organisé en 12 départements de soins et de services de santé : le Kouilou, le Niari, la </w:t>
      </w:r>
      <w:proofErr w:type="spellStart"/>
      <w:r w:rsidRPr="00AA51D7">
        <w:rPr>
          <w:rFonts w:ascii="Candara" w:eastAsia="Times New Roman" w:hAnsi="Candara"/>
          <w:sz w:val="26"/>
          <w:szCs w:val="26"/>
        </w:rPr>
        <w:t>Lékoumou</w:t>
      </w:r>
      <w:proofErr w:type="spellEnd"/>
      <w:r w:rsidRPr="00AA51D7">
        <w:rPr>
          <w:rFonts w:ascii="Candara" w:eastAsia="Times New Roman" w:hAnsi="Candara"/>
          <w:sz w:val="26"/>
          <w:szCs w:val="26"/>
        </w:rPr>
        <w:t>, la Bouenza, le Pool, les Plateaux, la Cuvette, la Cuvette Ouest, la Sangha, la Likouala, Brazzaville et Pointe-Noire. Chaque département est divisé en 52 districts sanitaires, ce qui permet d'être le plus proche possible des habitants. Il y a 8 hôpitaux généraux, 27 hôpitaux de district, 127 centres intégrés de santé et 451 dispensaires dans le réseau de santé public. Il est structuré en trois étapes :</w:t>
      </w:r>
    </w:p>
    <w:p w14:paraId="40FB6779" w14:textId="77777777" w:rsidR="00363EDF" w:rsidRDefault="00363EDF" w:rsidP="00AA51D7">
      <w:pPr>
        <w:pStyle w:val="Paragraphedeliste"/>
        <w:numPr>
          <w:ilvl w:val="0"/>
          <w:numId w:val="3"/>
        </w:numPr>
        <w:shd w:val="clear" w:color="auto" w:fill="FFFFFF"/>
        <w:spacing w:before="100" w:beforeAutospacing="1" w:after="120" w:line="336" w:lineRule="atLeast"/>
        <w:ind w:right="375"/>
        <w:jc w:val="both"/>
        <w:rPr>
          <w:rFonts w:ascii="Candara" w:eastAsia="Times New Roman" w:hAnsi="Candara" w:cs="Open Sans"/>
          <w:color w:val="000000" w:themeColor="text1"/>
          <w:sz w:val="26"/>
          <w:szCs w:val="26"/>
        </w:rPr>
      </w:pPr>
      <w:proofErr w:type="gramStart"/>
      <w:r w:rsidRPr="00AA51D7">
        <w:rPr>
          <w:rFonts w:ascii="Candara" w:eastAsia="Times New Roman" w:hAnsi="Candara" w:cs="Open Sans"/>
          <w:color w:val="000000" w:themeColor="text1"/>
          <w:sz w:val="26"/>
          <w:szCs w:val="26"/>
        </w:rPr>
        <w:t>le</w:t>
      </w:r>
      <w:proofErr w:type="gramEnd"/>
      <w:r w:rsidRPr="00AA51D7">
        <w:rPr>
          <w:rFonts w:ascii="Candara" w:eastAsia="Times New Roman" w:hAnsi="Candara" w:cs="Open Sans"/>
          <w:color w:val="000000" w:themeColor="text1"/>
          <w:sz w:val="26"/>
          <w:szCs w:val="26"/>
        </w:rPr>
        <w:t xml:space="preserve"> réseau de soin de première intention (dispensaires et centres de santé) délivre 2 types de couvertures, un Paquet Minimum d'Activités Standards (PMAS) qui inclut les activités de consultation curative, consultation prénatale, consultation préscolaire, les activités promotionnelles et le planning familial et Paquet Minimum d'Activités Elargi (PMAE) qui offre en plus des examens de laboratoires, les services d'accouchement et de chirurgie  ;</w:t>
      </w:r>
    </w:p>
    <w:p w14:paraId="31B92266" w14:textId="77777777" w:rsidR="00AA51D7" w:rsidRPr="00AA51D7" w:rsidRDefault="00AA51D7" w:rsidP="00AA51D7">
      <w:pPr>
        <w:pStyle w:val="Paragraphedeliste"/>
        <w:shd w:val="clear" w:color="auto" w:fill="FFFFFF"/>
        <w:spacing w:before="100" w:beforeAutospacing="1" w:after="120" w:line="336" w:lineRule="atLeast"/>
        <w:ind w:right="375"/>
        <w:jc w:val="both"/>
        <w:rPr>
          <w:rFonts w:ascii="Candara" w:eastAsia="Times New Roman" w:hAnsi="Candara" w:cs="Open Sans"/>
          <w:color w:val="000000" w:themeColor="text1"/>
          <w:sz w:val="26"/>
          <w:szCs w:val="26"/>
        </w:rPr>
      </w:pPr>
    </w:p>
    <w:p w14:paraId="07BD5C89" w14:textId="77777777" w:rsidR="00363EDF" w:rsidRDefault="00363EDF" w:rsidP="00AA51D7">
      <w:pPr>
        <w:pStyle w:val="Paragraphedeliste"/>
        <w:numPr>
          <w:ilvl w:val="0"/>
          <w:numId w:val="3"/>
        </w:numPr>
        <w:shd w:val="clear" w:color="auto" w:fill="FFFFFF"/>
        <w:spacing w:before="100" w:beforeAutospacing="1" w:after="120" w:line="336" w:lineRule="atLeast"/>
        <w:ind w:right="375"/>
        <w:jc w:val="both"/>
        <w:rPr>
          <w:rFonts w:ascii="Candara" w:eastAsia="Times New Roman" w:hAnsi="Candara" w:cs="Open Sans"/>
          <w:color w:val="000000" w:themeColor="text1"/>
          <w:sz w:val="26"/>
          <w:szCs w:val="26"/>
        </w:rPr>
      </w:pPr>
      <w:r w:rsidRPr="00AA51D7">
        <w:rPr>
          <w:rFonts w:ascii="Candara" w:eastAsia="Times New Roman" w:hAnsi="Candara" w:cs="Open Sans"/>
          <w:color w:val="000000" w:themeColor="text1"/>
          <w:sz w:val="26"/>
          <w:szCs w:val="26"/>
        </w:rPr>
        <w:t>le deuxième niveau est constitué des hôpitaux de districts qui offrent un Paquet Complémentaire d'Activités (PCA) comprenant la prise en charge des patients référés par les centres de santé, la prise en charge des urgences médico-chirurgicales de base, des urgences néonatales, obstétricales et gynécologiques de base, l'hospitalisation dans les quatre spécialités de base (médecine, chirurgie, pédiatrie et gynéco-obstétrique), la prise en charge des urgences en stomatologies, oto-rhino-laryngologiques et maxillo-faciales de base, les explorations biologiques et radiologiques de base et le stockage ainsi que la dispensation des médicaments et produits de santé essentiels ;</w:t>
      </w:r>
    </w:p>
    <w:p w14:paraId="4C28ACD1" w14:textId="77777777" w:rsidR="00AA51D7" w:rsidRPr="00AA51D7" w:rsidRDefault="00AA51D7" w:rsidP="00AA51D7">
      <w:pPr>
        <w:pStyle w:val="Paragraphedeliste"/>
        <w:shd w:val="clear" w:color="auto" w:fill="FFFFFF"/>
        <w:spacing w:before="100" w:beforeAutospacing="1" w:after="120" w:line="336" w:lineRule="atLeast"/>
        <w:ind w:right="375"/>
        <w:jc w:val="both"/>
        <w:rPr>
          <w:rFonts w:ascii="Candara" w:eastAsia="Times New Roman" w:hAnsi="Candara" w:cs="Open Sans"/>
          <w:color w:val="000000" w:themeColor="text1"/>
          <w:sz w:val="26"/>
          <w:szCs w:val="26"/>
        </w:rPr>
      </w:pPr>
    </w:p>
    <w:p w14:paraId="68F43406" w14:textId="4614A470" w:rsidR="00363EDF" w:rsidRPr="00AA51D7" w:rsidRDefault="00363EDF" w:rsidP="00AA51D7">
      <w:pPr>
        <w:pStyle w:val="Paragraphedeliste"/>
        <w:numPr>
          <w:ilvl w:val="0"/>
          <w:numId w:val="3"/>
        </w:numPr>
        <w:shd w:val="clear" w:color="auto" w:fill="FFFFFF"/>
        <w:spacing w:before="100" w:beforeAutospacing="1" w:after="120" w:line="336" w:lineRule="atLeast"/>
        <w:ind w:right="375"/>
        <w:jc w:val="both"/>
        <w:rPr>
          <w:rFonts w:ascii="Candara" w:eastAsia="Times New Roman" w:hAnsi="Candara" w:cs="Open Sans"/>
          <w:color w:val="000000" w:themeColor="text1"/>
          <w:sz w:val="26"/>
          <w:szCs w:val="26"/>
        </w:rPr>
      </w:pPr>
      <w:proofErr w:type="gramStart"/>
      <w:r w:rsidRPr="00AA51D7">
        <w:rPr>
          <w:rFonts w:ascii="Candara" w:eastAsia="Times New Roman" w:hAnsi="Candara" w:cs="Open Sans"/>
          <w:color w:val="000000" w:themeColor="text1"/>
          <w:sz w:val="26"/>
          <w:szCs w:val="26"/>
        </w:rPr>
        <w:t>l'offre</w:t>
      </w:r>
      <w:proofErr w:type="gramEnd"/>
      <w:r w:rsidRPr="00AA51D7">
        <w:rPr>
          <w:rFonts w:ascii="Candara" w:eastAsia="Times New Roman" w:hAnsi="Candara" w:cs="Open Sans"/>
          <w:color w:val="000000" w:themeColor="text1"/>
          <w:sz w:val="26"/>
          <w:szCs w:val="26"/>
        </w:rPr>
        <w:t xml:space="preserve"> de soins du troisième niveau est assuré par les hôpitaux généraux : services d'urgences médico-chirurgicales, de gynéco-obstétrique, de pédiatrie, de stomatologie, de radiologie conventionnelle et numérisée, d'échographie et panoramique dentaire.</w:t>
      </w:r>
    </w:p>
    <w:p w14:paraId="7B7CB1CD" w14:textId="77777777" w:rsidR="00363EDF" w:rsidRPr="00AA51D7" w:rsidRDefault="00363EDF" w:rsidP="00363EDF">
      <w:pPr>
        <w:pStyle w:val="NormalWeb"/>
        <w:shd w:val="clear" w:color="auto" w:fill="FFFFFF"/>
        <w:spacing w:line="360" w:lineRule="atLeast"/>
        <w:jc w:val="both"/>
        <w:rPr>
          <w:rFonts w:ascii="Candara" w:hAnsi="Candara" w:cs="Open Sans"/>
          <w:color w:val="000000" w:themeColor="text1"/>
          <w:sz w:val="26"/>
          <w:szCs w:val="26"/>
        </w:rPr>
      </w:pPr>
      <w:r w:rsidRPr="00AA51D7">
        <w:rPr>
          <w:rFonts w:ascii="Candara" w:hAnsi="Candara" w:cs="Open Sans"/>
          <w:color w:val="000000" w:themeColor="text1"/>
          <w:sz w:val="26"/>
          <w:szCs w:val="26"/>
        </w:rPr>
        <w:t>Le réseau de soins privé compte 810 formations sanitaires réparties en 54 cliniques, 71 centres médico-sociaux, 167 cabinets médicaux, 19 cabinets dentaires, 499 cabinets de soins infirmiers ainsi que 203 officines pharmaceutiques.</w:t>
      </w:r>
    </w:p>
    <w:p w14:paraId="79BE0DB0" w14:textId="77777777" w:rsidR="00363EDF" w:rsidRPr="00AA51D7" w:rsidRDefault="00363EDF" w:rsidP="00363EDF">
      <w:pPr>
        <w:pStyle w:val="NormalWeb"/>
        <w:shd w:val="clear" w:color="auto" w:fill="FFFFFF"/>
        <w:spacing w:line="360" w:lineRule="atLeast"/>
        <w:jc w:val="both"/>
        <w:rPr>
          <w:rFonts w:ascii="Candara" w:hAnsi="Candara" w:cs="Open Sans"/>
          <w:color w:val="000000" w:themeColor="text1"/>
          <w:sz w:val="26"/>
          <w:szCs w:val="26"/>
        </w:rPr>
      </w:pPr>
      <w:r w:rsidRPr="00AA51D7">
        <w:rPr>
          <w:rFonts w:ascii="Candara" w:hAnsi="Candara" w:cs="Open Sans"/>
          <w:color w:val="000000" w:themeColor="text1"/>
          <w:sz w:val="26"/>
          <w:szCs w:val="26"/>
        </w:rPr>
        <w:t>Le montant d'une consultation médicale varie entre 5 000 FCFA chez un généraliste à 15 000 FCFA chez un spécialiste.</w:t>
      </w:r>
    </w:p>
    <w:p w14:paraId="6ABEBCD2" w14:textId="15630A37" w:rsidR="00966D12" w:rsidRPr="00AA51D7" w:rsidRDefault="00363EDF" w:rsidP="00AA51D7">
      <w:pPr>
        <w:pStyle w:val="NormalWeb"/>
        <w:shd w:val="clear" w:color="auto" w:fill="FFFFFF"/>
        <w:spacing w:line="360" w:lineRule="atLeast"/>
        <w:jc w:val="both"/>
        <w:rPr>
          <w:rFonts w:ascii="Candara" w:hAnsi="Candara" w:cs="Open Sans"/>
          <w:color w:val="000000" w:themeColor="text1"/>
          <w:sz w:val="26"/>
          <w:szCs w:val="26"/>
        </w:rPr>
      </w:pPr>
      <w:r w:rsidRPr="00AA51D7">
        <w:rPr>
          <w:rFonts w:ascii="Candara" w:hAnsi="Candara" w:cs="Open Sans"/>
          <w:color w:val="000000" w:themeColor="text1"/>
          <w:sz w:val="26"/>
          <w:szCs w:val="26"/>
        </w:rPr>
        <w:lastRenderedPageBreak/>
        <w:t>Les frais d'accouchement et les soins médicaux occasionnés par la grossesse sont à la charge de la CNSS.</w:t>
      </w:r>
    </w:p>
    <w:sectPr w:rsidR="00966D12" w:rsidRPr="00AA51D7" w:rsidSect="00AA51D7">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05FAB"/>
    <w:multiLevelType w:val="hybridMultilevel"/>
    <w:tmpl w:val="C6D43E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C5C336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873F77"/>
    <w:multiLevelType w:val="hybridMultilevel"/>
    <w:tmpl w:val="D974CEA6"/>
    <w:lvl w:ilvl="0" w:tplc="FFFFFFFF">
      <w:numFmt w:val="bullet"/>
      <w:lvlText w:val="-"/>
      <w:lvlJc w:val="left"/>
      <w:pPr>
        <w:ind w:left="720" w:hanging="360"/>
      </w:pPr>
      <w:rPr>
        <w:rFonts w:ascii="Candara" w:eastAsiaTheme="minorEastAsia"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14682840">
    <w:abstractNumId w:val="2"/>
  </w:num>
  <w:num w:numId="2" w16cid:durableId="109132083">
    <w:abstractNumId w:val="1"/>
  </w:num>
  <w:num w:numId="3" w16cid:durableId="893466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EDF"/>
    <w:rsid w:val="00363EDF"/>
    <w:rsid w:val="007E33D5"/>
    <w:rsid w:val="00966D12"/>
    <w:rsid w:val="00996D2E"/>
    <w:rsid w:val="00AA51D7"/>
    <w:rsid w:val="00E91E8A"/>
  </w:rsids>
  <m:mathPr>
    <m:mathFont m:val="Cambria Math"/>
    <m:brkBin m:val="before"/>
    <m:brkBinSub m:val="--"/>
    <m:smallFrac m:val="0"/>
    <m:dispDef/>
    <m:lMargin m:val="0"/>
    <m:rMargin m:val="0"/>
    <m:defJc m:val="centerGroup"/>
    <m:wrapIndent m:val="1440"/>
    <m:intLim m:val="subSup"/>
    <m:naryLim m:val="undOvr"/>
  </m:mathPr>
  <w:themeFontLang w:val="fr-C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A3BA"/>
  <w15:chartTrackingRefBased/>
  <w15:docId w15:val="{3F6208DC-321C-4CE0-8C0E-4661D46E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EDF"/>
    <w:rPr>
      <w:rFonts w:eastAsiaTheme="minorEastAsia"/>
      <w:kern w:val="0"/>
      <w:lang w:val="fr-FR" w:eastAsia="fr-FR"/>
      <w14:ligatures w14:val="none"/>
    </w:rPr>
  </w:style>
  <w:style w:type="paragraph" w:styleId="Titre1">
    <w:name w:val="heading 1"/>
    <w:basedOn w:val="Normal"/>
    <w:next w:val="Normal"/>
    <w:link w:val="Titre1Car"/>
    <w:uiPriority w:val="9"/>
    <w:qFormat/>
    <w:rsid w:val="00363E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63E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63ED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63ED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63ED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63ED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63ED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63ED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63ED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3ED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63ED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63ED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63ED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63ED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63ED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63ED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63ED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63EDF"/>
    <w:rPr>
      <w:rFonts w:eastAsiaTheme="majorEastAsia" w:cstheme="majorBidi"/>
      <w:color w:val="272727" w:themeColor="text1" w:themeTint="D8"/>
    </w:rPr>
  </w:style>
  <w:style w:type="paragraph" w:styleId="Titre">
    <w:name w:val="Title"/>
    <w:basedOn w:val="Normal"/>
    <w:next w:val="Normal"/>
    <w:link w:val="TitreCar"/>
    <w:uiPriority w:val="10"/>
    <w:qFormat/>
    <w:rsid w:val="00363E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63ED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63ED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63ED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63EDF"/>
    <w:pPr>
      <w:spacing w:before="160"/>
      <w:jc w:val="center"/>
    </w:pPr>
    <w:rPr>
      <w:i/>
      <w:iCs/>
      <w:color w:val="404040" w:themeColor="text1" w:themeTint="BF"/>
    </w:rPr>
  </w:style>
  <w:style w:type="character" w:customStyle="1" w:styleId="CitationCar">
    <w:name w:val="Citation Car"/>
    <w:basedOn w:val="Policepardfaut"/>
    <w:link w:val="Citation"/>
    <w:uiPriority w:val="29"/>
    <w:rsid w:val="00363EDF"/>
    <w:rPr>
      <w:i/>
      <w:iCs/>
      <w:color w:val="404040" w:themeColor="text1" w:themeTint="BF"/>
    </w:rPr>
  </w:style>
  <w:style w:type="paragraph" w:styleId="Paragraphedeliste">
    <w:name w:val="List Paragraph"/>
    <w:basedOn w:val="Normal"/>
    <w:uiPriority w:val="34"/>
    <w:qFormat/>
    <w:rsid w:val="00363EDF"/>
    <w:pPr>
      <w:ind w:left="720"/>
      <w:contextualSpacing/>
    </w:pPr>
  </w:style>
  <w:style w:type="character" w:styleId="Accentuationintense">
    <w:name w:val="Intense Emphasis"/>
    <w:basedOn w:val="Policepardfaut"/>
    <w:uiPriority w:val="21"/>
    <w:qFormat/>
    <w:rsid w:val="00363EDF"/>
    <w:rPr>
      <w:i/>
      <w:iCs/>
      <w:color w:val="0F4761" w:themeColor="accent1" w:themeShade="BF"/>
    </w:rPr>
  </w:style>
  <w:style w:type="paragraph" w:styleId="Citationintense">
    <w:name w:val="Intense Quote"/>
    <w:basedOn w:val="Normal"/>
    <w:next w:val="Normal"/>
    <w:link w:val="CitationintenseCar"/>
    <w:uiPriority w:val="30"/>
    <w:qFormat/>
    <w:rsid w:val="00363E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63EDF"/>
    <w:rPr>
      <w:i/>
      <w:iCs/>
      <w:color w:val="0F4761" w:themeColor="accent1" w:themeShade="BF"/>
    </w:rPr>
  </w:style>
  <w:style w:type="character" w:styleId="Rfrenceintense">
    <w:name w:val="Intense Reference"/>
    <w:basedOn w:val="Policepardfaut"/>
    <w:uiPriority w:val="32"/>
    <w:qFormat/>
    <w:rsid w:val="00363EDF"/>
    <w:rPr>
      <w:b/>
      <w:bCs/>
      <w:smallCaps/>
      <w:color w:val="0F4761" w:themeColor="accent1" w:themeShade="BF"/>
      <w:spacing w:val="5"/>
    </w:rPr>
  </w:style>
  <w:style w:type="paragraph" w:styleId="NormalWeb">
    <w:name w:val="Normal (Web)"/>
    <w:basedOn w:val="Normal"/>
    <w:uiPriority w:val="99"/>
    <w:unhideWhenUsed/>
    <w:rsid w:val="00363ED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358</Words>
  <Characters>2047</Characters>
  <Application>Microsoft Office Word</Application>
  <DocSecurity>0</DocSecurity>
  <Lines>17</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richellie youlou</dc:creator>
  <cp:keywords/>
  <dc:description/>
  <cp:lastModifiedBy>richellie youlou</cp:lastModifiedBy>
  <cp:revision>2</cp:revision>
  <dcterms:created xsi:type="dcterms:W3CDTF">2025-01-11T21:51:00Z</dcterms:created>
  <dcterms:modified xsi:type="dcterms:W3CDTF">2025-01-13T20:43:00Z</dcterms:modified>
</cp:coreProperties>
</file>